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22" w:type="dxa"/>
        <w:tblLook w:val="01E0" w:firstRow="1" w:lastRow="1" w:firstColumn="1" w:lastColumn="1" w:noHBand="0" w:noVBand="0"/>
      </w:tblPr>
      <w:tblGrid>
        <w:gridCol w:w="4788"/>
        <w:gridCol w:w="540"/>
        <w:gridCol w:w="399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94" w:type="dxa"/>
            <w:textDirection w:val="lrTb"/>
            <w:noWrap w:val="false"/>
          </w:tcPr>
          <w:p>
            <w:pPr>
              <w:ind w:firstLine="7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>
              <w:rPr>
                <w:rFonts w:ascii="Times New Roman" w:hAnsi="Times New Roman" w:cs="Times New Roman"/>
              </w:rPr>
              <w:t xml:space="preserve">Утверждаю: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 xml:space="preserve">___________ 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«_____» ______________ 2025г.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ТЕХНИЧЕСКОЕ ЗАДАНИЕ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приобретение программного обеспечения </w:t>
      </w:r>
      <w:r>
        <w:rPr>
          <w:rFonts w:ascii="Times New Roman" w:hAnsi="Times New Roman" w:cs="Times New Roman"/>
          <w:sz w:val="22"/>
        </w:rPr>
        <w:t xml:space="preserve">ЛИРА10.12–FULL</w:t>
      </w:r>
      <w:r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нужд Барнаульского ОП ООО «</w:t>
      </w:r>
      <w:r>
        <w:rPr>
          <w:rFonts w:ascii="Times New Roman" w:hAnsi="Times New Roman" w:cs="Times New Roman"/>
        </w:rPr>
        <w:t xml:space="preserve">Интер</w:t>
      </w:r>
      <w:r>
        <w:rPr>
          <w:rFonts w:ascii="Times New Roman" w:hAnsi="Times New Roman" w:cs="Times New Roman"/>
        </w:rPr>
        <w:t xml:space="preserve"> РАО-Инжиниринг»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1.КРАТКОЕ ОПИСАНИЕ ЗАКУПАЕМЫХ ТОВАРОВ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Наименование и объем закупаемого товара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1.1.1.</w:t>
      </w:r>
      <w:r>
        <w:rPr>
          <w:rFonts w:ascii="Times New Roman" w:hAnsi="Times New Roman" w:cs="Times New Roman"/>
        </w:rPr>
        <w:tab/>
        <w:t xml:space="preserve">Приобретение инженерного программного обеспечения </w:t>
      </w:r>
      <w:r>
        <w:rPr>
          <w:rFonts w:ascii="Times New Roman" w:hAnsi="Times New Roman" w:cs="Times New Roman"/>
          <w:sz w:val="22"/>
        </w:rPr>
        <w:t xml:space="preserve">ЛИРА10.12–FULL </w:t>
      </w:r>
      <w:r>
        <w:rPr>
          <w:rFonts w:ascii="Times New Roman" w:hAnsi="Times New Roman" w:cs="Times New Roman"/>
          <w:sz w:val="22"/>
        </w:rPr>
        <w:t xml:space="preserve">(постоянная</w:t>
      </w:r>
      <w:r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pacing w:val="-2"/>
          <w:sz w:val="22"/>
        </w:rPr>
        <w:t xml:space="preserve">лицензия)</w:t>
      </w:r>
      <w:r>
        <w:rPr>
          <w:rFonts w:ascii="Times New Roman" w:hAnsi="Times New Roman" w:cs="Times New Roman"/>
          <w:spacing w:val="-2"/>
          <w:sz w:val="22"/>
        </w:rPr>
        <w:t xml:space="preserve"> </w:t>
      </w:r>
      <w:bookmarkStart w:id="0" w:name="_GoBack"/>
      <w:r/>
      <w:bookmarkEnd w:id="0"/>
      <w:r>
        <w:rPr>
          <w:rFonts w:ascii="Times New Roman" w:hAnsi="Times New Roman" w:cs="Times New Roman"/>
        </w:rPr>
        <w:t xml:space="preserve">(приложение №1 к ТЗ).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 Сроки поставки товаров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Начало поставки – апрель </w:t>
      </w:r>
      <w:r>
        <w:rPr>
          <w:rFonts w:ascii="Times New Roman" w:hAnsi="Times New Roman" w:cs="Times New Roman"/>
        </w:rPr>
        <w:t xml:space="preserve">2026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Окончание поставки – апрель 2026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 Возможность поставки аналогичных товаров.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Поставка аналогичных товаров не возможна.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ОБЩИЕ ТРЕБОВАНИЯ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Место применения, использования товара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Применение товара будет осуществляться в Барнаульском обособленном подразделении ООО «</w:t>
      </w:r>
      <w:r>
        <w:rPr>
          <w:rFonts w:ascii="Times New Roman" w:hAnsi="Times New Roman" w:cs="Times New Roman"/>
        </w:rPr>
        <w:t xml:space="preserve">Интер</w:t>
      </w:r>
      <w:r>
        <w:rPr>
          <w:rFonts w:ascii="Times New Roman" w:hAnsi="Times New Roman" w:cs="Times New Roman"/>
        </w:rPr>
        <w:t xml:space="preserve"> РАО – Инжиниринг» по адресу: Российская Федерация, Алтайский край, г. Барнаул, ул. 80 Гвардейской дивизии, здание 37, стр. 1, оф. 301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Требования к товару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2.2.1.</w:t>
      </w:r>
      <w:r>
        <w:rPr>
          <w:rFonts w:ascii="Times New Roman" w:hAnsi="Times New Roman" w:cs="Times New Roman"/>
        </w:rPr>
        <w:tab/>
        <w:t xml:space="preserve">Программное обеспечение должно быть лицензионным.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2.2.2. Лицензии на поставляемое программное обеспечение должны быть предложены в соответствии с правилами лицензирования, установленные компанией-</w:t>
      </w:r>
      <w:r>
        <w:rPr>
          <w:rFonts w:ascii="Times New Roman" w:hAnsi="Times New Roman" w:cs="Times New Roman"/>
        </w:rPr>
        <w:t xml:space="preserve">вендором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2.2.3. Поставщик должен обеспечить работоспособность всего предлагаемого ПО, как в составе комплекта, так и в качестве самостоятельных единиц. Лицензии поставляются в электронном виде.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2.2.4. Поставляемая продукция должна удовлетворять тре</w:t>
      </w:r>
      <w:r>
        <w:rPr>
          <w:rFonts w:ascii="Times New Roman" w:hAnsi="Times New Roman" w:cs="Times New Roman"/>
        </w:rPr>
        <w:t xml:space="preserve">бованиям, предоставленным в настоящем Техническом задании. Продукция должна быть новой, ранее неиспользованной, не обременённой правами третьих лиц, не состоять в споре и/или под арестом. Требования к товару представлены в Спецификации (Приложение №1 к ТЗ)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2.2.5.</w:t>
      </w:r>
      <w:r>
        <w:rPr>
          <w:rFonts w:ascii="Times New Roman" w:hAnsi="Times New Roman" w:cs="Times New Roman"/>
        </w:rPr>
        <w:tab/>
        <w:t xml:space="preserve"> Все закупаемая продукция должна свободно поставляться на территорию РФ.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2.2.6.</w:t>
      </w:r>
      <w:r>
        <w:rPr>
          <w:rFonts w:ascii="Times New Roman" w:hAnsi="Times New Roman" w:eastAsia="Times New Roman" w:cs="Times New Roman"/>
        </w:rPr>
        <w:t xml:space="preserve"> Состав и количество поставляемой продукции представлены в Приложении № 1 к настоящему Техническому заданию.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Требования к применяемым в производстве материалам и оборудованию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 Требования о соответствии товара обязательным требованиям законодательства о техническом регулировании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2.5. Требования о добровольной сертификации товара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Не требуется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2.6. Требования к гарантийному сроку и (или) объёму предоставления гарантий качества на поставляемый товар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2.7. Требования к расходам на эксплуатацию и техническое обслуживание поставленных товаров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2.8. Требования к передаче интеллектуальных прав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2.9. Требования по осуществлению сопутствующих работ при поставке товаров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ТРЕБОВАНИЯ К ВЫПОЛНЕНИЮ ПОСТАВКИ ТОВАРОВ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cs="Times New Roman"/>
        </w:rPr>
        <w:t xml:space="preserve">3.1. </w:t>
      </w:r>
      <w:r>
        <w:rPr>
          <w:rFonts w:ascii="Times New Roman" w:hAnsi="Times New Roman" w:eastAsia="Times New Roman" w:cs="Times New Roman"/>
        </w:rPr>
        <w:t xml:space="preserve">Требования к отгрузке и доставке приобретенных товаров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hd w:val="clear" w:color="ffffff" w:fill="ffffff"/>
        <w:rPr>
          <w:rFonts w:ascii="Times New Roman" w:hAnsi="Times New Roman" w:eastAsia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</w:rPr>
        <w:t xml:space="preserve">Поставка товаров осуществляется в электронном виде путем направления скан-копий бланков лицензий на почтовый ящик Заказчика (электронный адрес будет предоставлен побед</w:t>
      </w:r>
      <w:r>
        <w:rPr>
          <w:rFonts w:ascii="Times New Roman" w:hAnsi="Times New Roman" w:eastAsia="Times New Roman" w:cs="Times New Roman"/>
        </w:rPr>
        <w:t xml:space="preserve">ителю), оригиналы бланков на электронных носителях направляются на адрес Заказчика.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Требования к таре и упаковке приобретаемой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Требования к приемке продукции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Поставщиком Покупателю предоставляется: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Счета (</w:t>
      </w:r>
      <w:r>
        <w:rPr>
          <w:rFonts w:ascii="Times New Roman" w:hAnsi="Times New Roman" w:cs="Times New Roman"/>
        </w:rPr>
        <w:t xml:space="preserve">ов</w:t>
      </w:r>
      <w:r>
        <w:rPr>
          <w:rFonts w:ascii="Times New Roman" w:hAnsi="Times New Roman" w:cs="Times New Roman"/>
        </w:rPr>
        <w:t xml:space="preserve">) - фактуры;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Счета (</w:t>
      </w:r>
      <w:r>
        <w:rPr>
          <w:rFonts w:ascii="Times New Roman" w:hAnsi="Times New Roman" w:cs="Times New Roman"/>
        </w:rPr>
        <w:t xml:space="preserve">ов</w:t>
      </w:r>
      <w:r>
        <w:rPr>
          <w:rFonts w:ascii="Times New Roman" w:hAnsi="Times New Roman" w:cs="Times New Roman"/>
        </w:rPr>
        <w:t xml:space="preserve">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Акт приемки-передачи неисключительных прав на использование интеллектуальной деятельности на основании лицензионного договора;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 Требования к передаваемой Заказчику документации по оценке соответствия требованиям безопасности и качественным показателям товаров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line="274" w:lineRule="exact"/>
        <w:tabs>
          <w:tab w:val="left" w:pos="567" w:leader="none"/>
        </w:tabs>
        <w:rPr>
          <w:rFonts w:ascii="Times New Roman" w:hAnsi="Times New Roman" w:eastAsia="Calibri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eastAsia="Calibri" w:cs="Times New Roman"/>
          <w:b/>
          <w:bCs/>
        </w:rPr>
        <w:t xml:space="preserve">ПОРЯДОК ФОРМИРОВАНИЯ КОММЕРЧЕСКОГО ПРЕДЛОЖЕНИЯ УЧАСТНИКА ЗАКУПКИ, ОБОСНОВАНИЯ ЦЕНЫ, РАСЧЕТОВ, ПРЕДОСТАВЛЕНИЯ БАНКОВСКИХ ГАРАНТИЙ</w:t>
      </w:r>
      <w:r>
        <w:rPr>
          <w:rFonts w:ascii="Times New Roman" w:hAnsi="Times New Roman" w:eastAsia="Calibri" w:cs="Times New Roman"/>
          <w:b/>
          <w:bCs/>
        </w:rPr>
      </w:r>
      <w:r>
        <w:rPr>
          <w:rFonts w:ascii="Times New Roman" w:hAnsi="Times New Roman" w:eastAsia="Calibri" w:cs="Times New Roman"/>
          <w:b/>
          <w:bCs/>
        </w:rPr>
      </w:r>
    </w:p>
    <w:p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Участник формирует свое коммерческое предложение по форме и в соответствии с инструкциями, указанными в спецификации (приложение №1 к ТЗ).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Требования к порядку расчетов указаны в проекте Договора.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ТРЕБОВАНИЯ К УЧАСТНИКАМ ЗАКУПКИ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Требования о наличии аккредитации в Группе «</w:t>
      </w:r>
      <w:r>
        <w:rPr>
          <w:rFonts w:ascii="Times New Roman" w:hAnsi="Times New Roman" w:cs="Times New Roman"/>
        </w:rPr>
        <w:t xml:space="preserve">Интер</w:t>
      </w:r>
      <w:r>
        <w:rPr>
          <w:rFonts w:ascii="Times New Roman" w:hAnsi="Times New Roman" w:cs="Times New Roman"/>
        </w:rPr>
        <w:t xml:space="preserve"> РАО»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</w:t>
      </w:r>
      <w:r>
        <w:rPr>
          <w:rFonts w:ascii="Times New Roman" w:hAnsi="Times New Roman" w:cs="Times New Roman"/>
        </w:rPr>
        <w:tab/>
        <w:t xml:space="preserve">Требования о наличии сертифицированных систем менеджмента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Желательным является если участник</w:t>
      </w:r>
      <w:r>
        <w:rPr>
          <w:rFonts w:ascii="Times New Roman" w:hAnsi="Times New Roman" w:cs="Times New Roman"/>
          <w:iCs/>
        </w:rPr>
        <w:t xml:space="preserve"> закупки предоставит в составе сво</w:t>
      </w:r>
      <w:r>
        <w:rPr>
          <w:rFonts w:ascii="Times New Roman" w:hAnsi="Times New Roman" w:cs="Times New Roman"/>
          <w:iCs/>
        </w:rPr>
        <w:t xml:space="preserve">ей заявки документы (копии сертификатов), подтверждающие наличие у него системы менеджмента качества,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</w:t>
      </w:r>
      <w:r>
        <w:rPr>
          <w:rFonts w:ascii="Times New Roman" w:hAnsi="Times New Roman" w:cs="Times New Roman"/>
          <w:iCs/>
        </w:rPr>
        <w:t xml:space="preserve">СМПБиОТ</w:t>
      </w:r>
      <w:r>
        <w:rPr>
          <w:rFonts w:ascii="Times New Roman" w:hAnsi="Times New Roman" w:cs="Times New Roman"/>
          <w:iCs/>
        </w:rPr>
        <w:t xml:space="preserve">) OHSAS 18001/ISO 45001, экологического менеджмента (ISO 14001), системы энергетического менеджмента ISO 50001/ГОСТ Р ИСО 50001). 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Требования к опыту поставки аналогичных товаров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требуется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 Требования по подтверждению отношений с производителем товара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Участник закупки в своем предложении должен указать наименование производителя предлагаемой к поставке продукции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5.5. Прочие требования к участникам закупки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ind w:firstLine="708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Не требуется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  <w:highlight w:val="none"/>
        </w:rPr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0"/>
        <w:jc w:val="both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cs="Times New Roman"/>
          <w:b/>
          <w:bCs/>
          <w:highlight w:val="none"/>
        </w:rPr>
        <w:t xml:space="preserve">6. ПРИЛОЖЕНИЯ</w:t>
      </w:r>
      <w:r>
        <w:rPr>
          <w:rFonts w:ascii="Times New Roman" w:hAnsi="Times New Roman" w:cs="Times New Roman"/>
          <w:b/>
          <w:bCs/>
        </w:rPr>
      </w:r>
    </w:p>
    <w:p>
      <w:pPr>
        <w:pStyle w:val="742"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highlight w:val="none"/>
        </w:rPr>
        <w:t xml:space="preserve">Спецификация</w:t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sectPr>
      <w:headerReference w:type="default" r:id="rId9"/>
      <w:footerReference w:type="default" r:id="rId10"/>
      <w:footnotePr/>
      <w:endnotePr/>
      <w:type w:val="nextPage"/>
      <w:pgSz w:w="11909" w:h="16838" w:orient="portrait"/>
      <w:pgMar w:top="1440" w:right="1080" w:bottom="1702" w:left="108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Liberation Sans">
    <w:panose1 w:val="020B0604020202020204"/>
  </w:font>
  <w:font w:name="Tahoma">
    <w:panose1 w:val="020B0604030504040204"/>
  </w:font>
  <w:font w:name="Courier New">
    <w:panose1 w:val="020704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5.%2."/>
      <w:lvlJc w:val="left"/>
      <w:pPr>
        <w:ind w:left="54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76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8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5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4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1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5">
    <w:name w:val="Caption Char"/>
    <w:basedOn w:val="715"/>
    <w:link w:val="756"/>
    <w:uiPriority w:val="35"/>
    <w:rPr>
      <w:b/>
      <w:bCs/>
      <w:color w:val="4f81bd" w:themeColor="accent1"/>
      <w:sz w:val="18"/>
      <w:szCs w:val="18"/>
    </w:rPr>
  </w:style>
  <w:style w:type="table" w:styleId="686">
    <w:name w:val="Plain Table 1"/>
    <w:basedOn w:val="7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71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7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5 Dark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96">
    <w:name w:val="Grid Table 6 Colorful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97">
    <w:name w:val="Grid Table 7 Colorful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List Table 1 Light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List Table 2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00">
    <w:name w:val="List Table 3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List Table 4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List Table 5 Dark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03">
    <w:name w:val="List Table 6 Colorful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04">
    <w:name w:val="List Table 7 Colorful"/>
    <w:basedOn w:val="7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05" w:default="1">
    <w:name w:val="Normal"/>
    <w:pPr>
      <w:widowControl w:val="off"/>
    </w:pPr>
    <w:rPr>
      <w:rFonts w:ascii="Courier New" w:hAnsi="Courier New" w:eastAsia="Courier New" w:cs="Courier New"/>
      <w:color w:val="000000"/>
      <w:sz w:val="24"/>
      <w:szCs w:val="24"/>
      <w:lang w:bidi="ru-RU"/>
    </w:rPr>
  </w:style>
  <w:style w:type="paragraph" w:styleId="706">
    <w:name w:val="Heading 1"/>
    <w:basedOn w:val="705"/>
    <w:next w:val="705"/>
    <w:link w:val="73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7">
    <w:name w:val="Heading 2"/>
    <w:basedOn w:val="705"/>
    <w:next w:val="705"/>
    <w:link w:val="73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8">
    <w:name w:val="Heading 3"/>
    <w:basedOn w:val="705"/>
    <w:next w:val="705"/>
    <w:link w:val="73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9">
    <w:name w:val="Heading 4"/>
    <w:basedOn w:val="705"/>
    <w:next w:val="705"/>
    <w:link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0">
    <w:name w:val="Heading 5"/>
    <w:basedOn w:val="705"/>
    <w:next w:val="705"/>
    <w:link w:val="73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1">
    <w:name w:val="Heading 6"/>
    <w:basedOn w:val="705"/>
    <w:next w:val="705"/>
    <w:link w:val="73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2">
    <w:name w:val="Heading 7"/>
    <w:basedOn w:val="705"/>
    <w:next w:val="705"/>
    <w:link w:val="7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3">
    <w:name w:val="Heading 8"/>
    <w:basedOn w:val="705"/>
    <w:next w:val="705"/>
    <w:link w:val="74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4">
    <w:name w:val="Heading 9"/>
    <w:basedOn w:val="705"/>
    <w:next w:val="705"/>
    <w:link w:val="7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5" w:default="1">
    <w:name w:val="Default Paragraph Font"/>
    <w:uiPriority w:val="1"/>
    <w:semiHidden/>
    <w:unhideWhenUsed/>
  </w:style>
  <w:style w:type="table" w:styleId="7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7" w:default="1">
    <w:name w:val="No List"/>
    <w:uiPriority w:val="99"/>
    <w:semiHidden/>
    <w:unhideWhenUsed/>
  </w:style>
  <w:style w:type="character" w:styleId="718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19" w:customStyle="1">
    <w:name w:val="Heading 2 Char"/>
    <w:uiPriority w:val="9"/>
    <w:rPr>
      <w:rFonts w:ascii="Arial" w:hAnsi="Arial" w:eastAsia="Arial" w:cs="Arial"/>
      <w:sz w:val="34"/>
    </w:rPr>
  </w:style>
  <w:style w:type="character" w:styleId="720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21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22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23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24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26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27" w:customStyle="1">
    <w:name w:val="Title Char"/>
    <w:uiPriority w:val="10"/>
    <w:rPr>
      <w:sz w:val="48"/>
      <w:szCs w:val="48"/>
    </w:rPr>
  </w:style>
  <w:style w:type="character" w:styleId="728" w:customStyle="1">
    <w:name w:val="Subtitle Char"/>
    <w:uiPriority w:val="11"/>
    <w:rPr>
      <w:sz w:val="24"/>
      <w:szCs w:val="24"/>
    </w:rPr>
  </w:style>
  <w:style w:type="character" w:styleId="729" w:customStyle="1">
    <w:name w:val="Quote Char"/>
    <w:uiPriority w:val="29"/>
    <w:rPr>
      <w:i/>
    </w:rPr>
  </w:style>
  <w:style w:type="character" w:styleId="730" w:customStyle="1">
    <w:name w:val="Intense Quote Char"/>
    <w:uiPriority w:val="30"/>
    <w:rPr>
      <w:i/>
    </w:rPr>
  </w:style>
  <w:style w:type="character" w:styleId="731" w:customStyle="1">
    <w:name w:val="Footnote Text Char"/>
    <w:uiPriority w:val="99"/>
    <w:rPr>
      <w:sz w:val="18"/>
    </w:rPr>
  </w:style>
  <w:style w:type="character" w:styleId="732" w:customStyle="1">
    <w:name w:val="Endnote Text Char"/>
    <w:uiPriority w:val="99"/>
    <w:rPr>
      <w:sz w:val="20"/>
    </w:rPr>
  </w:style>
  <w:style w:type="character" w:styleId="733" w:customStyle="1">
    <w:name w:val="Заголовок 1 Знак"/>
    <w:link w:val="706"/>
    <w:uiPriority w:val="9"/>
    <w:rPr>
      <w:rFonts w:ascii="Arial" w:hAnsi="Arial" w:eastAsia="Arial" w:cs="Arial"/>
      <w:sz w:val="40"/>
      <w:szCs w:val="40"/>
    </w:rPr>
  </w:style>
  <w:style w:type="character" w:styleId="734" w:customStyle="1">
    <w:name w:val="Заголовок 2 Знак"/>
    <w:link w:val="707"/>
    <w:uiPriority w:val="9"/>
    <w:rPr>
      <w:rFonts w:ascii="Arial" w:hAnsi="Arial" w:eastAsia="Arial" w:cs="Arial"/>
      <w:sz w:val="34"/>
    </w:rPr>
  </w:style>
  <w:style w:type="character" w:styleId="735" w:customStyle="1">
    <w:name w:val="Заголовок 3 Знак"/>
    <w:link w:val="708"/>
    <w:uiPriority w:val="9"/>
    <w:rPr>
      <w:rFonts w:ascii="Arial" w:hAnsi="Arial" w:eastAsia="Arial" w:cs="Arial"/>
      <w:sz w:val="30"/>
      <w:szCs w:val="30"/>
    </w:rPr>
  </w:style>
  <w:style w:type="character" w:styleId="736" w:customStyle="1">
    <w:name w:val="Заголовок 4 Знак"/>
    <w:link w:val="709"/>
    <w:uiPriority w:val="9"/>
    <w:rPr>
      <w:rFonts w:ascii="Arial" w:hAnsi="Arial" w:eastAsia="Arial" w:cs="Arial"/>
      <w:b/>
      <w:bCs/>
      <w:sz w:val="26"/>
      <w:szCs w:val="26"/>
    </w:rPr>
  </w:style>
  <w:style w:type="character" w:styleId="737" w:customStyle="1">
    <w:name w:val="Заголовок 5 Знак"/>
    <w:link w:val="710"/>
    <w:uiPriority w:val="9"/>
    <w:rPr>
      <w:rFonts w:ascii="Arial" w:hAnsi="Arial" w:eastAsia="Arial" w:cs="Arial"/>
      <w:b/>
      <w:bCs/>
      <w:sz w:val="24"/>
      <w:szCs w:val="24"/>
    </w:rPr>
  </w:style>
  <w:style w:type="character" w:styleId="738" w:customStyle="1">
    <w:name w:val="Заголовок 6 Знак"/>
    <w:link w:val="711"/>
    <w:uiPriority w:val="9"/>
    <w:rPr>
      <w:rFonts w:ascii="Arial" w:hAnsi="Arial" w:eastAsia="Arial" w:cs="Arial"/>
      <w:b/>
      <w:bCs/>
      <w:sz w:val="22"/>
      <w:szCs w:val="22"/>
    </w:rPr>
  </w:style>
  <w:style w:type="character" w:styleId="739" w:customStyle="1">
    <w:name w:val="Заголовок 7 Знак"/>
    <w:link w:val="7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0" w:customStyle="1">
    <w:name w:val="Заголовок 8 Знак"/>
    <w:link w:val="713"/>
    <w:uiPriority w:val="9"/>
    <w:rPr>
      <w:rFonts w:ascii="Arial" w:hAnsi="Arial" w:eastAsia="Arial" w:cs="Arial"/>
      <w:i/>
      <w:iCs/>
      <w:sz w:val="22"/>
      <w:szCs w:val="22"/>
    </w:rPr>
  </w:style>
  <w:style w:type="character" w:styleId="741" w:customStyle="1">
    <w:name w:val="Заголовок 9 Знак"/>
    <w:link w:val="714"/>
    <w:uiPriority w:val="9"/>
    <w:rPr>
      <w:rFonts w:ascii="Arial" w:hAnsi="Arial" w:eastAsia="Arial" w:cs="Arial"/>
      <w:i/>
      <w:iCs/>
      <w:sz w:val="21"/>
      <w:szCs w:val="21"/>
    </w:rPr>
  </w:style>
  <w:style w:type="paragraph" w:styleId="742">
    <w:name w:val="List Paragraph"/>
    <w:basedOn w:val="705"/>
    <w:link w:val="911"/>
    <w:uiPriority w:val="34"/>
    <w:qFormat/>
    <w:pPr>
      <w:contextualSpacing/>
      <w:ind w:left="720"/>
      <w:spacing w:after="200" w:line="276" w:lineRule="auto"/>
      <w:widowControl/>
    </w:pPr>
    <w:rPr>
      <w:rFonts w:ascii="Times New Roman" w:hAnsi="Times New Roman" w:eastAsia="Calibri" w:cs="Times New Roman"/>
      <w:lang w:eastAsia="en-US" w:bidi="ar-SA"/>
    </w:rPr>
  </w:style>
  <w:style w:type="paragraph" w:styleId="743">
    <w:name w:val="No Spacing"/>
    <w:uiPriority w:val="1"/>
    <w:qFormat/>
    <w:pPr>
      <w:widowControl w:val="off"/>
    </w:pPr>
    <w:rPr>
      <w:rFonts w:ascii="Courier New" w:hAnsi="Courier New" w:eastAsia="Courier New" w:cs="Courier New"/>
      <w:color w:val="000000"/>
      <w:sz w:val="24"/>
      <w:szCs w:val="24"/>
      <w:lang w:bidi="ru-RU"/>
    </w:rPr>
  </w:style>
  <w:style w:type="paragraph" w:styleId="744">
    <w:name w:val="Title"/>
    <w:basedOn w:val="705"/>
    <w:next w:val="705"/>
    <w:link w:val="74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5" w:customStyle="1">
    <w:name w:val="Заголовок Знак"/>
    <w:link w:val="744"/>
    <w:uiPriority w:val="10"/>
    <w:rPr>
      <w:sz w:val="48"/>
      <w:szCs w:val="48"/>
    </w:rPr>
  </w:style>
  <w:style w:type="paragraph" w:styleId="746">
    <w:name w:val="Subtitle"/>
    <w:basedOn w:val="705"/>
    <w:next w:val="705"/>
    <w:link w:val="747"/>
    <w:uiPriority w:val="11"/>
    <w:qFormat/>
    <w:pPr>
      <w:spacing w:before="200" w:after="200"/>
    </w:pPr>
  </w:style>
  <w:style w:type="character" w:styleId="747" w:customStyle="1">
    <w:name w:val="Подзаголовок Знак"/>
    <w:link w:val="746"/>
    <w:uiPriority w:val="11"/>
    <w:rPr>
      <w:sz w:val="24"/>
      <w:szCs w:val="24"/>
    </w:rPr>
  </w:style>
  <w:style w:type="paragraph" w:styleId="748">
    <w:name w:val="Quote"/>
    <w:basedOn w:val="705"/>
    <w:next w:val="705"/>
    <w:link w:val="749"/>
    <w:uiPriority w:val="29"/>
    <w:qFormat/>
    <w:pPr>
      <w:ind w:left="720" w:right="720"/>
    </w:pPr>
    <w:rPr>
      <w:i/>
    </w:rPr>
  </w:style>
  <w:style w:type="character" w:styleId="749" w:customStyle="1">
    <w:name w:val="Цитата 2 Знак"/>
    <w:link w:val="748"/>
    <w:uiPriority w:val="29"/>
    <w:rPr>
      <w:i/>
    </w:rPr>
  </w:style>
  <w:style w:type="paragraph" w:styleId="750">
    <w:name w:val="Intense Quote"/>
    <w:basedOn w:val="705"/>
    <w:next w:val="705"/>
    <w:link w:val="75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1" w:customStyle="1">
    <w:name w:val="Выделенная цитата Знак"/>
    <w:link w:val="750"/>
    <w:uiPriority w:val="30"/>
    <w:rPr>
      <w:i/>
    </w:rPr>
  </w:style>
  <w:style w:type="paragraph" w:styleId="752">
    <w:name w:val="Header"/>
    <w:basedOn w:val="705"/>
    <w:link w:val="90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53" w:customStyle="1">
    <w:name w:val="Header Char"/>
    <w:uiPriority w:val="99"/>
  </w:style>
  <w:style w:type="paragraph" w:styleId="754">
    <w:name w:val="Footer"/>
    <w:basedOn w:val="705"/>
    <w:link w:val="90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55" w:customStyle="1">
    <w:name w:val="Footer Char"/>
    <w:uiPriority w:val="99"/>
  </w:style>
  <w:style w:type="paragraph" w:styleId="756">
    <w:name w:val="Caption"/>
    <w:basedOn w:val="705"/>
    <w:next w:val="705"/>
    <w:link w:val="757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57" w:customStyle="1">
    <w:name w:val="Название объекта Знак"/>
    <w:link w:val="756"/>
    <w:uiPriority w:val="99"/>
  </w:style>
  <w:style w:type="table" w:styleId="758">
    <w:name w:val="Table Grid"/>
    <w:basedOn w:val="716"/>
    <w:uiPriority w:val="59"/>
    <w:pPr>
      <w:widowControl w:val="off"/>
    </w:pPr>
    <w:rPr>
      <w:rFonts w:ascii="Courier New" w:hAnsi="Courier New" w:eastAsia="Courier New" w:cs="Courier New"/>
      <w:sz w:val="24"/>
      <w:szCs w:val="24"/>
    </w:rPr>
    <w:tblPr/>
  </w:style>
  <w:style w:type="table" w:styleId="759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0" w:customStyle="1">
    <w:name w:val="Таблица простая 1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1" w:customStyle="1">
    <w:name w:val="Таблица простая 21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 w:customStyle="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84">
    <w:name w:val="Hyperlink"/>
    <w:uiPriority w:val="99"/>
    <w:unhideWhenUsed/>
    <w:rPr>
      <w:color w:val="0000ff"/>
      <w:u w:val="single"/>
    </w:rPr>
  </w:style>
  <w:style w:type="paragraph" w:styleId="885">
    <w:name w:val="footnote text"/>
    <w:basedOn w:val="705"/>
    <w:link w:val="886"/>
    <w:uiPriority w:val="99"/>
    <w:semiHidden/>
    <w:unhideWhenUsed/>
    <w:pPr>
      <w:spacing w:after="40"/>
    </w:pPr>
    <w:rPr>
      <w:sz w:val="18"/>
    </w:rPr>
  </w:style>
  <w:style w:type="character" w:styleId="886" w:customStyle="1">
    <w:name w:val="Текст сноски Знак"/>
    <w:link w:val="885"/>
    <w:uiPriority w:val="99"/>
    <w:rPr>
      <w:sz w:val="18"/>
    </w:rPr>
  </w:style>
  <w:style w:type="character" w:styleId="887">
    <w:name w:val="footnote reference"/>
    <w:uiPriority w:val="99"/>
    <w:unhideWhenUsed/>
    <w:rPr>
      <w:vertAlign w:val="superscript"/>
    </w:rPr>
  </w:style>
  <w:style w:type="paragraph" w:styleId="888">
    <w:name w:val="endnote text"/>
    <w:basedOn w:val="705"/>
    <w:link w:val="889"/>
    <w:uiPriority w:val="99"/>
    <w:semiHidden/>
    <w:unhideWhenUsed/>
    <w:rPr>
      <w:sz w:val="20"/>
    </w:rPr>
  </w:style>
  <w:style w:type="character" w:styleId="889" w:customStyle="1">
    <w:name w:val="Текст концевой сноски Знак"/>
    <w:link w:val="888"/>
    <w:uiPriority w:val="99"/>
    <w:rPr>
      <w:sz w:val="20"/>
    </w:rPr>
  </w:style>
  <w:style w:type="character" w:styleId="890">
    <w:name w:val="endnote reference"/>
    <w:uiPriority w:val="99"/>
    <w:semiHidden/>
    <w:unhideWhenUsed/>
    <w:rPr>
      <w:vertAlign w:val="superscript"/>
    </w:rPr>
  </w:style>
  <w:style w:type="paragraph" w:styleId="891">
    <w:name w:val="toc 1"/>
    <w:basedOn w:val="705"/>
    <w:next w:val="705"/>
    <w:uiPriority w:val="39"/>
    <w:unhideWhenUsed/>
    <w:pPr>
      <w:spacing w:after="57"/>
    </w:pPr>
  </w:style>
  <w:style w:type="paragraph" w:styleId="892">
    <w:name w:val="toc 2"/>
    <w:basedOn w:val="705"/>
    <w:next w:val="705"/>
    <w:uiPriority w:val="39"/>
    <w:unhideWhenUsed/>
    <w:pPr>
      <w:ind w:left="283"/>
      <w:spacing w:after="57"/>
    </w:pPr>
  </w:style>
  <w:style w:type="paragraph" w:styleId="893">
    <w:name w:val="toc 3"/>
    <w:basedOn w:val="705"/>
    <w:next w:val="705"/>
    <w:uiPriority w:val="39"/>
    <w:unhideWhenUsed/>
    <w:pPr>
      <w:ind w:left="567"/>
      <w:spacing w:after="57"/>
    </w:pPr>
  </w:style>
  <w:style w:type="paragraph" w:styleId="894">
    <w:name w:val="toc 4"/>
    <w:basedOn w:val="705"/>
    <w:next w:val="705"/>
    <w:uiPriority w:val="39"/>
    <w:unhideWhenUsed/>
    <w:pPr>
      <w:ind w:left="850"/>
      <w:spacing w:after="57"/>
    </w:pPr>
  </w:style>
  <w:style w:type="paragraph" w:styleId="895">
    <w:name w:val="toc 5"/>
    <w:basedOn w:val="705"/>
    <w:next w:val="705"/>
    <w:uiPriority w:val="39"/>
    <w:unhideWhenUsed/>
    <w:pPr>
      <w:ind w:left="1134"/>
      <w:spacing w:after="57"/>
    </w:pPr>
  </w:style>
  <w:style w:type="paragraph" w:styleId="896">
    <w:name w:val="toc 6"/>
    <w:basedOn w:val="705"/>
    <w:next w:val="705"/>
    <w:uiPriority w:val="39"/>
    <w:unhideWhenUsed/>
    <w:pPr>
      <w:ind w:left="1417"/>
      <w:spacing w:after="57"/>
    </w:pPr>
  </w:style>
  <w:style w:type="paragraph" w:styleId="897">
    <w:name w:val="toc 7"/>
    <w:basedOn w:val="705"/>
    <w:next w:val="705"/>
    <w:uiPriority w:val="39"/>
    <w:unhideWhenUsed/>
    <w:pPr>
      <w:ind w:left="1701"/>
      <w:spacing w:after="57"/>
    </w:pPr>
  </w:style>
  <w:style w:type="paragraph" w:styleId="898">
    <w:name w:val="toc 8"/>
    <w:basedOn w:val="705"/>
    <w:next w:val="705"/>
    <w:uiPriority w:val="39"/>
    <w:unhideWhenUsed/>
    <w:pPr>
      <w:ind w:left="1984"/>
      <w:spacing w:after="57"/>
    </w:pPr>
  </w:style>
  <w:style w:type="paragraph" w:styleId="899">
    <w:name w:val="toc 9"/>
    <w:basedOn w:val="705"/>
    <w:next w:val="705"/>
    <w:uiPriority w:val="39"/>
    <w:unhideWhenUsed/>
    <w:pPr>
      <w:ind w:left="2268"/>
      <w:spacing w:after="57"/>
    </w:pPr>
  </w:style>
  <w:style w:type="paragraph" w:styleId="900">
    <w:name w:val="TOC Heading"/>
    <w:uiPriority w:val="39"/>
    <w:unhideWhenUsed/>
    <w:rPr>
      <w:lang w:eastAsia="zh-CN"/>
    </w:rPr>
  </w:style>
  <w:style w:type="paragraph" w:styleId="901">
    <w:name w:val="table of figures"/>
    <w:basedOn w:val="705"/>
    <w:next w:val="705"/>
    <w:uiPriority w:val="99"/>
    <w:unhideWhenUsed/>
  </w:style>
  <w:style w:type="character" w:styleId="902">
    <w:name w:val="annotation reference"/>
    <w:uiPriority w:val="99"/>
    <w:semiHidden/>
    <w:unhideWhenUsed/>
    <w:rPr>
      <w:sz w:val="16"/>
      <w:szCs w:val="16"/>
    </w:rPr>
  </w:style>
  <w:style w:type="paragraph" w:styleId="903">
    <w:name w:val="annotation text"/>
    <w:basedOn w:val="705"/>
    <w:link w:val="904"/>
    <w:uiPriority w:val="99"/>
    <w:semiHidden/>
    <w:unhideWhenUsed/>
    <w:rPr>
      <w:sz w:val="20"/>
      <w:szCs w:val="20"/>
    </w:rPr>
  </w:style>
  <w:style w:type="character" w:styleId="904" w:customStyle="1">
    <w:name w:val="Текст примечания Знак"/>
    <w:link w:val="903"/>
    <w:uiPriority w:val="99"/>
    <w:semiHidden/>
    <w:rPr>
      <w:rFonts w:ascii="Courier New" w:hAnsi="Courier New" w:eastAsia="Courier New" w:cs="Courier New"/>
      <w:color w:val="000000"/>
      <w:sz w:val="20"/>
      <w:szCs w:val="20"/>
      <w:lang w:eastAsia="ru-RU" w:bidi="ru-RU"/>
    </w:rPr>
  </w:style>
  <w:style w:type="character" w:styleId="905" w:customStyle="1">
    <w:name w:val="Верхний колонтитул Знак"/>
    <w:link w:val="752"/>
    <w:uiPriority w:val="99"/>
    <w:rPr>
      <w:rFonts w:ascii="Courier New" w:hAnsi="Courier New" w:eastAsia="Courier New" w:cs="Courier New"/>
      <w:color w:val="000000"/>
      <w:sz w:val="24"/>
      <w:szCs w:val="24"/>
      <w:lang w:eastAsia="ru-RU" w:bidi="ru-RU"/>
    </w:rPr>
  </w:style>
  <w:style w:type="character" w:styleId="906" w:customStyle="1">
    <w:name w:val="Нижний колонтитул Знак"/>
    <w:link w:val="754"/>
    <w:uiPriority w:val="99"/>
    <w:rPr>
      <w:rFonts w:ascii="Courier New" w:hAnsi="Courier New" w:eastAsia="Courier New" w:cs="Courier New"/>
      <w:color w:val="000000"/>
      <w:sz w:val="24"/>
      <w:szCs w:val="24"/>
      <w:lang w:eastAsia="ru-RU" w:bidi="ru-RU"/>
    </w:rPr>
  </w:style>
  <w:style w:type="paragraph" w:styleId="907">
    <w:name w:val="Balloon Text"/>
    <w:basedOn w:val="705"/>
    <w:link w:val="908"/>
    <w:uiPriority w:val="99"/>
    <w:semiHidden/>
    <w:unhideWhenUsed/>
    <w:rPr>
      <w:rFonts w:ascii="Tahoma" w:hAnsi="Tahoma" w:cs="Tahoma"/>
      <w:sz w:val="16"/>
      <w:szCs w:val="16"/>
    </w:rPr>
  </w:style>
  <w:style w:type="character" w:styleId="908" w:customStyle="1">
    <w:name w:val="Текст выноски Знак"/>
    <w:link w:val="907"/>
    <w:uiPriority w:val="99"/>
    <w:semiHidden/>
    <w:rPr>
      <w:rFonts w:ascii="Tahoma" w:hAnsi="Tahoma" w:eastAsia="Courier New" w:cs="Tahoma"/>
      <w:color w:val="000000"/>
      <w:sz w:val="16"/>
      <w:szCs w:val="16"/>
      <w:lang w:bidi="ru-RU"/>
    </w:rPr>
  </w:style>
  <w:style w:type="paragraph" w:styleId="909">
    <w:name w:val="annotation subject"/>
    <w:basedOn w:val="903"/>
    <w:next w:val="903"/>
    <w:link w:val="910"/>
    <w:uiPriority w:val="99"/>
    <w:semiHidden/>
    <w:unhideWhenUsed/>
    <w:rPr>
      <w:b/>
      <w:bCs/>
    </w:rPr>
  </w:style>
  <w:style w:type="character" w:styleId="910" w:customStyle="1">
    <w:name w:val="Тема примечания Знак"/>
    <w:link w:val="909"/>
    <w:uiPriority w:val="99"/>
    <w:semiHidden/>
    <w:rPr>
      <w:rFonts w:ascii="Courier New" w:hAnsi="Courier New" w:eastAsia="Courier New" w:cs="Courier New"/>
      <w:b/>
      <w:bCs/>
      <w:color w:val="000000"/>
      <w:sz w:val="20"/>
      <w:szCs w:val="20"/>
      <w:lang w:eastAsia="ru-RU" w:bidi="ru-RU"/>
    </w:rPr>
  </w:style>
  <w:style w:type="character" w:styleId="911" w:customStyle="1">
    <w:name w:val="Абзац списка Знак"/>
    <w:link w:val="742"/>
    <w:uiPriority w:val="34"/>
    <w:rPr>
      <w:rFonts w:ascii="Times New Roman" w:hAnsi="Times New Roman"/>
      <w:sz w:val="24"/>
      <w:szCs w:val="24"/>
      <w:lang w:eastAsia="en-US"/>
    </w:rPr>
  </w:style>
  <w:style w:type="character" w:styleId="912">
    <w:name w:val="Strong"/>
    <w:uiPriority w:val="22"/>
    <w:qFormat/>
    <w:rPr>
      <w:b/>
      <w:bCs/>
    </w:rPr>
  </w:style>
  <w:style w:type="character" w:styleId="913" w:customStyle="1">
    <w:name w:val="Подподпункт Знак"/>
    <w:link w:val="914"/>
  </w:style>
  <w:style w:type="paragraph" w:styleId="914" w:customStyle="1">
    <w:name w:val="Подподпункт"/>
    <w:basedOn w:val="705"/>
    <w:link w:val="913"/>
    <w:pPr>
      <w:ind w:left="1134" w:hanging="1134"/>
      <w:jc w:val="both"/>
      <w:spacing w:line="360" w:lineRule="auto"/>
      <w:widowControl/>
    </w:pPr>
    <w:rPr>
      <w:rFonts w:ascii="Calibri" w:hAnsi="Calibri" w:eastAsia="Calibri" w:cs="Times New Roman"/>
      <w:sz w:val="20"/>
      <w:szCs w:val="20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Иванович Мозгин</dc:creator>
  <cp:lastModifiedBy>sergeeva_evl</cp:lastModifiedBy>
  <cp:revision>41</cp:revision>
  <dcterms:created xsi:type="dcterms:W3CDTF">2024-01-12T08:25:00Z</dcterms:created>
  <dcterms:modified xsi:type="dcterms:W3CDTF">2026-01-29T07:08:28Z</dcterms:modified>
  <cp:version>1048576</cp:version>
</cp:coreProperties>
</file>